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Kluczowe tezy rozdziału: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▪ Konieczne jest wprowadzenie treści ekonomicznych na każdym etapie edukacji.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▪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Tematy prowadzonych zajęć, jak i sposoby nauczania ekonomii i finansów powinny być dostosowane do każdego etapu edukacji.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▪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Największy nacisk powinien być położony na praktyczne zagadnienia, przez co niezbędne jest wypracowanie i zaimplementowanie zróżnicowanych metod nauczania.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▪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młodszych klasach nacisk powinien być położony na metody praktyczne, które uczą odpowiednich nawyków przez powtarzanie. Dopiero utrwalenie wiedzy pozwoli na przekazywanie bardziej zaawansowanych treści.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▪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szkołach średnich i branżowych uczniowie przede wszystkim powinni zdobyć umiejętności, które przygotują ich na wejście w dorosłe życie, w tym m.in. na rynek pracy.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▪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Prowadzenie polityki otwartych szkół na inicjatywy zewnętrzne oraz współpracę z lokalnymi przedsiębiorcami pozytywnie wpłynie na postrzeganie przez uczniów pragmatycznego charakteru ekonomii oraz finansów, korzystnie wpływając na status przedmiotu.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▪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Istotnym krokiem podniesienia statusu przedmiotu byłoby również włączenie przedmiotu ekonomicznego do przedmiotów maturalnych.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